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FB" w:rsidRPr="002F40FB" w:rsidRDefault="002F40FB" w:rsidP="002F40F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Памятка для родителей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по медиабезопасности для несовершеннолетних</w:t>
      </w:r>
    </w:p>
    <w:p w:rsidR="002F40FB" w:rsidRDefault="002F40FB" w:rsidP="002F40F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</w:t>
      </w:r>
    </w:p>
    <w:p w:rsidR="002F40FB" w:rsidRPr="002F40FB" w:rsidRDefault="002F40FB" w:rsidP="002F40FB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(Павел Астахов, Уполномоченный при Президенте Российской Федерации по правам ребенка)</w:t>
      </w: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</w:p>
    <w:p w:rsidR="002F40FB" w:rsidRPr="002F40FB" w:rsidRDefault="002F40FB" w:rsidP="002F40FB">
      <w:pPr>
        <w:shd w:val="clear" w:color="auto" w:fill="FFFFFF"/>
        <w:spacing w:before="100" w:beforeAutospacing="1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Виртуальная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угроза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,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подстерегающая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детей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в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интернете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, </w:t>
      </w:r>
      <w:bookmarkStart w:id="0" w:name="_GoBack"/>
      <w:bookmarkEnd w:id="0"/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становится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более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опасной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,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чем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очевидные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опасности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,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от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которых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мы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пытаемся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защитить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наших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детей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Родители!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</w:p>
    <w:p w:rsidR="002F40FB" w:rsidRPr="002F40FB" w:rsidRDefault="002F40FB" w:rsidP="002F40FB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Какие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опасности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для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детей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таятся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в</w:t>
      </w:r>
      <w:r w:rsidRPr="002F40F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2F40FB">
        <w:rPr>
          <w:rFonts w:ascii="Montserrat" w:eastAsia="Times New Roman" w:hAnsi="Montserrat" w:cs="Times New Roman" w:hint="eastAsia"/>
          <w:b/>
          <w:bCs/>
          <w:color w:val="273350"/>
          <w:sz w:val="27"/>
          <w:szCs w:val="27"/>
          <w:lang w:eastAsia="ru-RU"/>
        </w:rPr>
        <w:t>интернете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Явные опасности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Порнография, пропаганда насилия, экстремизм, агрессия, кибербуллинг, киднеппинг. К сожалению, в Интернете этого много. </w:t>
      </w:r>
      <w:hyperlink r:id="rId4" w:history="1"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Социальные сети</w:t>
        </w:r>
      </w:hyperlink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форумы, чаты – всё это позволяет свободно вливать в детские умы подобную информацию, нанося непоправимый ущерб психике.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Опасные молодёжные течения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Подросший ребёнок будет обращаться в сфере его возрастной группы, которая часто так и называется – сложный возраст. Сайты всевозможных </w:t>
      </w:r>
      <w:hyperlink r:id="rId5" w:history="1"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фанатов</w:t>
        </w:r>
      </w:hyperlink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(буллициду) 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Наркотики, алкоголизм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Мы говорим нашим детям о том, что алкоголизм – это страшная болезнь, а </w:t>
      </w:r>
      <w:hyperlink r:id="rId6" w:history="1"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наркотики</w:t>
        </w:r>
      </w:hyperlink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 бы ложь опередила вас, найдите время и нужные слова, чтобы верно пояснить проблему.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Секты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Следите за тем, с кем и на каких сайтах общается ребёнок в Сети. Проверяйте сообщества, форумы, чаты и сразу блокируйте подозрительные из них. </w:t>
      </w:r>
      <w:hyperlink r:id="rId7" w:history="1"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Сект</w:t>
        </w:r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а</w:t>
        </w:r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нты</w:t>
        </w:r>
      </w:hyperlink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- вербовщики всегда </w:t>
      </w: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Вирусы, трояны, обманщики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 </w:t>
      </w:r>
      <w:hyperlink r:id="rId8" w:history="1">
        <w:r w:rsidRPr="002F40FB">
          <w:rPr>
            <w:rFonts w:ascii="Montserrat" w:eastAsia="Times New Roman" w:hAnsi="Montserrat" w:cs="Times New Roman"/>
            <w:color w:val="273350"/>
            <w:sz w:val="24"/>
            <w:szCs w:val="24"/>
            <w:lang w:eastAsia="ru-RU"/>
          </w:rPr>
          <w:t>кража</w:t>
        </w:r>
      </w:hyperlink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паролей и прочей конфиденциальной информации, спам от вашего имени, хулиганство, вымогательство, угрозы – всё это может быть плодами вирусов.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Интернет-магазины.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Сейчас развелось множество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различных сайтов, предлагающих</w:t>
      </w:r>
      <w:r w:rsidRPr="002F40F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огромный ассортимент различного вида товара: от дисков до компьютера последнего поколения. 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</w:t>
      </w:r>
    </w:p>
    <w:p w:rsidR="002F40FB" w:rsidRPr="002F40FB" w:rsidRDefault="002F40FB" w:rsidP="002F40F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F40F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 </w:t>
      </w:r>
      <w:hyperlink r:id="rId9" w:history="1">
        <w:r w:rsidRPr="002F40FB">
          <w:rPr>
            <w:rFonts w:ascii="Montserrat" w:eastAsia="Times New Roman" w:hAnsi="Montserrat" w:cs="Times New Roman"/>
            <w:i/>
            <w:iCs/>
            <w:color w:val="273350"/>
            <w:sz w:val="24"/>
            <w:szCs w:val="24"/>
            <w:lang w:eastAsia="ru-RU"/>
          </w:rPr>
          <w:t>по телевизору</w:t>
        </w:r>
      </w:hyperlink>
      <w:r w:rsidRPr="002F40F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</w:t>
      </w:r>
    </w:p>
    <w:p w:rsidR="00810497" w:rsidRDefault="00810497"/>
    <w:sectPr w:rsidR="00810497" w:rsidSect="002F40F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B"/>
    <w:rsid w:val="002F40FB"/>
    <w:rsid w:val="008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2C650"/>
  <w15:chartTrackingRefBased/>
  <w15:docId w15:val="{B4F6FF44-D992-4B07-944C-B565A2FE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0FB"/>
    <w:rPr>
      <w:i/>
      <w:iCs/>
    </w:rPr>
  </w:style>
  <w:style w:type="character" w:styleId="a5">
    <w:name w:val="Strong"/>
    <w:basedOn w:val="a0"/>
    <w:uiPriority w:val="22"/>
    <w:qFormat/>
    <w:rsid w:val="002F40FB"/>
    <w:rPr>
      <w:b/>
      <w:bCs/>
    </w:rPr>
  </w:style>
  <w:style w:type="character" w:styleId="a6">
    <w:name w:val="Hyperlink"/>
    <w:basedOn w:val="a0"/>
    <w:uiPriority w:val="99"/>
    <w:semiHidden/>
    <w:unhideWhenUsed/>
    <w:rsid w:val="002F4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39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kolazhizni.ru/archive/0/n-193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archive/0/n-496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kolazhizni.ru/archive/0/n-569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kolazhizni.ru/tag/%F1%EE%F6%E8%E0%EB%FC%ED%FB%E5+%F1%E5%F2%E8/" TargetMode="External"/><Relationship Id="rId9" Type="http://schemas.openxmlformats.org/officeDocument/2006/relationships/hyperlink" Target="http://shkolazhizni.ru/archive/0/n-109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Памятка для родителей по медиабезопасности для несовершеннолетних</vt:lpstr>
      <vt:lpstr>        Виртуальная угроза, подстерегающая детей в интернете, становится более опасной, </vt:lpstr>
      <vt:lpstr>        Какие опасности для детей таятся в интернете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Ирина Александровна</dc:creator>
  <cp:keywords/>
  <dc:description/>
  <cp:lastModifiedBy>Прудникова Ирина Александровна</cp:lastModifiedBy>
  <cp:revision>1</cp:revision>
  <dcterms:created xsi:type="dcterms:W3CDTF">2024-03-26T08:59:00Z</dcterms:created>
  <dcterms:modified xsi:type="dcterms:W3CDTF">2024-03-26T09:03:00Z</dcterms:modified>
</cp:coreProperties>
</file>